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>
      <w:pPr>
        <w:pStyle w:val="7"/>
        <w:ind w:firstLine="0" w:firstLineChars="0"/>
        <w:jc w:val="center"/>
        <w:rPr>
          <w:rFonts w:ascii="方正小标宋简体" w:hAnsi="Calibri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sz w:val="44"/>
          <w:szCs w:val="44"/>
        </w:rPr>
        <w:t>《</w:t>
      </w:r>
      <w:r>
        <w:rPr>
          <w:rFonts w:hint="eastAsia" w:ascii="方正小标宋简体" w:hAnsi="Calibri" w:eastAsia="方正小标宋简体"/>
          <w:b/>
          <w:sz w:val="44"/>
          <w:szCs w:val="44"/>
        </w:rPr>
        <w:t>深圳市工业和信息化局创新型高成长企业培育库实施办法</w:t>
      </w:r>
    </w:p>
    <w:p>
      <w:pPr>
        <w:pStyle w:val="7"/>
        <w:ind w:firstLine="0" w:firstLineChars="0"/>
        <w:jc w:val="center"/>
        <w:rPr>
          <w:sz w:val="13"/>
          <w:szCs w:val="13"/>
        </w:rPr>
      </w:pPr>
      <w:r>
        <w:rPr>
          <w:rFonts w:hint="eastAsia" w:ascii="方正小标宋简体" w:hAnsi="Calibri" w:eastAsia="方正小标宋简体"/>
          <w:b/>
          <w:sz w:val="44"/>
          <w:szCs w:val="44"/>
        </w:rPr>
        <w:t>（征求意见稿）</w:t>
      </w:r>
      <w:r>
        <w:rPr>
          <w:rFonts w:hint="eastAsia" w:ascii="方正小标宋简体" w:eastAsia="方正小标宋简体"/>
          <w:b/>
          <w:sz w:val="44"/>
          <w:szCs w:val="44"/>
        </w:rPr>
        <w:t>》意见采纳情况表</w:t>
      </w:r>
    </w:p>
    <w:bookmarkEnd w:id="0"/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88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序号</w:t>
            </w:r>
          </w:p>
        </w:tc>
        <w:tc>
          <w:tcPr>
            <w:tcW w:w="7088" w:type="dxa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意见和建议</w:t>
            </w:r>
          </w:p>
        </w:tc>
        <w:tc>
          <w:tcPr>
            <w:tcW w:w="6095" w:type="dxa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采纳情况级理由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文中所列举的入库企业未在入库条件中明确。征求意见稿的二、入库条件中写道“包括但不限于“专精特新”企业、新三板企业、中小微基金投资企业、高新技术企业、小升规重点企业、规模以上工业企业、限额以上商贸服务企业、瞪羚企业等”。但是下方具体入库条件中并未明确上述企业能够直接入库，建议入库条件后加上“上述企业可直接入库“条款。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>
            <w:pPr>
              <w:spacing w:line="360" w:lineRule="exact"/>
              <w:ind w:firstLine="0" w:firstLineChars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采纳，在“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三、</w:t>
            </w:r>
            <w:r>
              <w:rPr>
                <w:rFonts w:ascii="仿宋_GB2312" w:hAnsi="仿宋_GB2312" w:cs="仿宋_GB2312"/>
                <w:sz w:val="24"/>
                <w:szCs w:val="24"/>
              </w:rPr>
              <w:t>入库流程（二）入库审核”中明确可直接入库企业的情况。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2、入库条件表述有问题。入库条件中的“（一）属于民营企业或中小企业，适用于中小型国有、外资企业；”，此句话表述有问题，适用于中小型国有、外资企业，是仅仅中小型国有或外资企业符合还是中小型国有、外资企业也能够申报？建议改为“（一）属于民营企业或中小企业，包括中小型国有、外资企业”。</w:t>
            </w:r>
          </w:p>
        </w:tc>
        <w:tc>
          <w:tcPr>
            <w:tcW w:w="6095" w:type="dxa"/>
          </w:tcPr>
          <w:p>
            <w:pPr>
              <w:spacing w:line="360" w:lineRule="exact"/>
              <w:ind w:firstLine="0" w:firstLineChars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采纳，明确表述，修改为“（一）属于民营企业或中小企业，包括中小型国有、外资企业”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 xml:space="preserve"> “专精特新”企业认定尚未出台。征求意见稿中有“专精特新企业”这个企业名称描述，但工信局与中小企业服务局尚未出台“专精特新”企业认定指南与标准，建议补充。</w:t>
            </w:r>
          </w:p>
        </w:tc>
        <w:tc>
          <w:tcPr>
            <w:tcW w:w="6095" w:type="dxa"/>
          </w:tcPr>
          <w:p>
            <w:pPr>
              <w:spacing w:line="360" w:lineRule="exact"/>
              <w:ind w:firstLine="0" w:firstLineChars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不采纳，目前正在研究制定“专精特新”企业遴选办法，相关标准将在遴选办法中明确。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>
            <w:pPr>
              <w:spacing w:line="360" w:lineRule="exact"/>
              <w:ind w:firstLine="0" w:firstLineChars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第二条第（二）点近三年未发生过安全、质量、环境污染事故；未有偷漏税和其他严重违法违规、失信行为的，未被列入失信联合惩戒名单 这里是否定义下其他严重违法违规、失信行为范围，如：无被财政、税务、市场监管等行政部门处以5万元人民币及以上的金额罚款的违法违规行为记录，无被处以责令停产停业、吊销或暂扣许可证等行政处罚记录。</w:t>
            </w:r>
          </w:p>
        </w:tc>
        <w:tc>
          <w:tcPr>
            <w:tcW w:w="6095" w:type="dxa"/>
          </w:tcPr>
          <w:p>
            <w:pPr>
              <w:spacing w:line="360" w:lineRule="exact"/>
              <w:ind w:firstLine="0" w:firstLineChars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采纳，相关描述统一修改为：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未被国家、省、市相关部门列入失信联合惩戒对象名单。</w:t>
            </w:r>
          </w:p>
          <w:p>
            <w:pPr>
              <w:spacing w:line="360" w:lineRule="exact"/>
              <w:ind w:firstLine="0" w:firstLineChars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第二条第（四）点：至少有1项与主营产品相关的发明专利，或2项以上实用新型专利、外观设计专利、软件著作权、集成电路布图设计版权、动植物新品种等，且相关知识产权为自主研发。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 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其中“或2项上实用新型专利...”指标是否有点低，建议调整到“5项以上”。</w:t>
            </w:r>
          </w:p>
        </w:tc>
        <w:tc>
          <w:tcPr>
            <w:tcW w:w="6095" w:type="dxa"/>
          </w:tcPr>
          <w:p>
            <w:pPr>
              <w:spacing w:line="360" w:lineRule="exact"/>
              <w:ind w:firstLine="0" w:firstLineChars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采纳，为突出创新型，同时参考国家高新技术企业认定相关标准，修改为：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至少有1项与主营产品相关的发明专利（含国防专利）、植物新品种、国家级农作物品种、国家新药、国家一级中药保护品种、集成电路布图设计专有权，或5项以上实用新型专利、外观设计专利、软件著作权等。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第二条第（五）点： 且最近年度营业收入同比平均增长不低于20%。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这对中小企业来说增长率应该问题都不大，但如是营业收入较高的民营企业可能门槛有点高，是否可以考虑按营收门槛分阶梯设立营业收入增长比例，同时明确下是几个年度的营业收入平均增长。如：上年度营业收入5亿元人民币及以上的企业，近3年度营业收入同比平均增长不低于15%；上年度营业收入低于5亿元人民币的企业，近3年度营业收入同比平均增长不低于20%。</w:t>
            </w:r>
          </w:p>
        </w:tc>
        <w:tc>
          <w:tcPr>
            <w:tcW w:w="6095" w:type="dxa"/>
          </w:tcPr>
          <w:p>
            <w:pPr>
              <w:spacing w:line="360" w:lineRule="exact"/>
              <w:ind w:firstLine="0" w:firstLineChars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不采纳，第（五）点已经明确“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市委市政府确定的其它重点培育企业、各区重点培育企业、“专精特新”企业、国家省市创新创业大赛获奖企业、中小微基金投资企业等可不受此条件限制。</w:t>
            </w:r>
            <w:r>
              <w:rPr>
                <w:rFonts w:ascii="仿宋_GB2312" w:hAnsi="仿宋_GB2312" w:cs="仿宋_GB2312"/>
                <w:sz w:val="24"/>
                <w:szCs w:val="24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“二、入库条件——（五）主营业务符合我市产业发展导向，主营业务收入占营业总收入不低于80%，且最近年度营业收入同比平均增长不低于20%。”存在疑惑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1.“最近年度”是指最近3年度吗？是否需要限定其具体时间。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2.  请确定营业收入同比平均增长的计算方式。是否如下理解所示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营业收入同比增长率=（当期营业收入-上期营业收入）/上期营业收入×100%，如：营业收入同比增长率为GR， 2018的营业收入同比增长率为GR2018。近3年营业收入同比平均增长= （GR2018 + GR2017 + GR2016）/3</w:t>
            </w:r>
          </w:p>
        </w:tc>
        <w:tc>
          <w:tcPr>
            <w:tcW w:w="6095" w:type="dxa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部分采纳，明确时间限定，修改为：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主营业务符合我市产业发展导向，上年度主营业务收入占营业总收入不低于80%，且同比增长不低于20%。”</w:t>
            </w:r>
          </w:p>
          <w:p>
            <w:pPr>
              <w:spacing w:line="360" w:lineRule="exact"/>
              <w:ind w:firstLine="0" w:firstLineChars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</w:tbl>
    <w:p>
      <w:pPr>
        <w:ind w:firstLine="0" w:firstLineChars="0"/>
        <w:rPr>
          <w:sz w:val="15"/>
          <w:szCs w:val="15"/>
        </w:rPr>
      </w:pP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 w:tentative="0">
      <w:start w:val="1"/>
      <w:numFmt w:val="japaneseCounting"/>
      <w:pStyle w:val="9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6F"/>
    <w:rsid w:val="00100421"/>
    <w:rsid w:val="001066DE"/>
    <w:rsid w:val="00127CD3"/>
    <w:rsid w:val="002E4BF0"/>
    <w:rsid w:val="0034758D"/>
    <w:rsid w:val="003D426E"/>
    <w:rsid w:val="004D4FFE"/>
    <w:rsid w:val="006E37CD"/>
    <w:rsid w:val="007457C1"/>
    <w:rsid w:val="00756549"/>
    <w:rsid w:val="00837EA4"/>
    <w:rsid w:val="008931E9"/>
    <w:rsid w:val="008D7F6F"/>
    <w:rsid w:val="00A75DD7"/>
    <w:rsid w:val="00B42B07"/>
    <w:rsid w:val="00C35DAF"/>
    <w:rsid w:val="00C85D0A"/>
    <w:rsid w:val="00D10420"/>
    <w:rsid w:val="00E23E79"/>
    <w:rsid w:val="00F90D76"/>
    <w:rsid w:val="0ECE4CDF"/>
    <w:rsid w:val="1C8D0B23"/>
    <w:rsid w:val="46393626"/>
    <w:rsid w:val="6466466E"/>
    <w:rsid w:val="72EA4094"/>
    <w:rsid w:val="7F68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40" w:lineRule="exact"/>
      <w:ind w:firstLine="622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8"/>
    <w:qFormat/>
    <w:uiPriority w:val="11"/>
    <w:pPr>
      <w:spacing w:before="240" w:after="60" w:line="312" w:lineRule="atLeast"/>
      <w:jc w:val="center"/>
      <w:outlineLvl w:val="1"/>
    </w:pPr>
    <w:rPr>
      <w:rFonts w:eastAsia="宋体" w:asciiTheme="majorHAnsi" w:hAnsiTheme="majorHAnsi" w:cstheme="majorBidi"/>
      <w:b/>
      <w:bCs/>
      <w:kern w:val="28"/>
      <w:szCs w:val="32"/>
    </w:rPr>
  </w:style>
  <w:style w:type="paragraph" w:customStyle="1" w:styleId="7">
    <w:name w:val="文件正文"/>
    <w:basedOn w:val="4"/>
    <w:qFormat/>
    <w:uiPriority w:val="2"/>
    <w:pPr>
      <w:spacing w:before="0" w:after="0" w:line="560" w:lineRule="exact"/>
      <w:jc w:val="both"/>
      <w:outlineLvl w:val="9"/>
    </w:pPr>
    <w:rPr>
      <w:rFonts w:ascii="仿宋_GB2312" w:hAnsi="仿宋_GB2312" w:eastAsia="仿宋_GB2312" w:cs="仿宋_GB2312"/>
      <w:b w:val="0"/>
      <w:bCs w:val="0"/>
      <w:kern w:val="2"/>
    </w:rPr>
  </w:style>
  <w:style w:type="character" w:customStyle="1" w:styleId="8">
    <w:name w:val="副标题 Char"/>
    <w:basedOn w:val="5"/>
    <w:link w:val="4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9">
    <w:name w:val="Char Char1"/>
    <w:basedOn w:val="1"/>
    <w:qFormat/>
    <w:uiPriority w:val="0"/>
    <w:pPr>
      <w:numPr>
        <w:ilvl w:val="0"/>
        <w:numId w:val="1"/>
      </w:numPr>
      <w:adjustRightInd w:val="0"/>
      <w:snapToGrid w:val="0"/>
      <w:spacing w:line="360" w:lineRule="auto"/>
    </w:pPr>
    <w:rPr>
      <w:szCs w:val="32"/>
    </w:rPr>
  </w:style>
  <w:style w:type="character" w:customStyle="1" w:styleId="10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286</Words>
  <Characters>1632</Characters>
  <Lines>13</Lines>
  <Paragraphs>3</Paragraphs>
  <ScaleCrop>false</ScaleCrop>
  <LinksUpToDate>false</LinksUpToDate>
  <CharactersWithSpaces>1915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2019-12-04T03:00:00Z</dcterms:created>
  <dc:creator>李清义</dc:creator>
  <cp:lastModifiedBy>汪效斌</cp:lastModifiedBy>
  <dcterms:modified xsi:type="dcterms:W3CDTF">2019-12-05T04:58:39Z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