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24"/>
        </w:rPr>
      </w:pPr>
      <w:bookmarkStart w:id="0" w:name="_GoBack"/>
      <w:bookmarkEnd w:id="0"/>
      <w:r>
        <w:rPr>
          <w:rFonts w:hint="eastAsia"/>
          <w:b/>
          <w:sz w:val="32"/>
          <w:szCs w:val="24"/>
        </w:rPr>
        <w:t>附件1</w:t>
      </w: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b/>
          <w:sz w:val="32"/>
          <w:szCs w:val="24"/>
        </w:rPr>
      </w:pP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阳光资金系统账户确认及账户证明打印</w:t>
      </w:r>
    </w:p>
    <w:p>
      <w:pPr>
        <w:jc w:val="center"/>
        <w:rPr>
          <w:rFonts w:ascii="方正小标宋_GBK" w:hAnsi="方正小标宋_GBK" w:eastAsia="方正小标宋_GBK" w:cs="方正小标宋_GBK"/>
          <w:bCs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</w:rPr>
        <w:t>操作指南</w:t>
      </w:r>
    </w:p>
    <w:p>
      <w:pPr>
        <w:widowControl/>
        <w:numPr>
          <w:ilvl w:val="0"/>
          <w:numId w:val="1"/>
        </w:numPr>
        <w:jc w:val="left"/>
        <w:rPr>
          <w:rFonts w:ascii="黑体" w:hAnsi="黑体" w:eastAsia="黑体" w:cs="黑体"/>
          <w:b/>
          <w:sz w:val="32"/>
          <w:szCs w:val="32"/>
        </w:rPr>
      </w:pPr>
      <w:r>
        <w:rPr>
          <w:b/>
          <w:sz w:val="32"/>
          <w:szCs w:val="24"/>
        </w:rPr>
        <w:br w:type="page"/>
      </w:r>
      <w:r>
        <w:rPr>
          <w:rFonts w:hint="eastAsia" w:ascii="黑体" w:hAnsi="黑体" w:eastAsia="黑体" w:cs="黑体"/>
          <w:b/>
          <w:sz w:val="32"/>
          <w:szCs w:val="32"/>
        </w:rPr>
        <w:t>登录（以下两种方式都可）</w:t>
      </w:r>
    </w:p>
    <w:p>
      <w:pPr>
        <w:pStyle w:val="17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（1）从深圳市工业和信息化局智慧工信企业服务平台（</w:t>
      </w:r>
      <w:r>
        <w:fldChar w:fldCharType="begin"/>
      </w:r>
      <w:r>
        <w:instrText xml:space="preserve"> HYPERLINK "http://wb.gxj.sz.gov.cn/"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t>http://wb.gxj.sz.gov.cn/</w:t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）登录。输入网址访问，进入深圳市工业和信息化局智慧工信企业服务平台首页后，点击“省网厅统一登录”登录。</w:t>
      </w:r>
    </w:p>
    <w:p>
      <w:pPr>
        <w:pStyle w:val="17"/>
        <w:ind w:left="108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0333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720" w:firstLine="0" w:firstLineChars="0"/>
        <w:rPr>
          <w:sz w:val="24"/>
          <w:szCs w:val="24"/>
        </w:rPr>
      </w:pPr>
    </w:p>
    <w:p>
      <w:pPr>
        <w:pStyle w:val="17"/>
        <w:ind w:left="720" w:firstLine="0" w:firstLineChars="0"/>
        <w:rPr>
          <w:sz w:val="24"/>
          <w:szCs w:val="24"/>
        </w:rPr>
      </w:pPr>
    </w:p>
    <w:p>
      <w:pPr>
        <w:pStyle w:val="17"/>
        <w:ind w:left="720" w:firstLine="0" w:firstLineChars="0"/>
      </w:pPr>
    </w:p>
    <w:p>
      <w:pPr>
        <w:rPr>
          <w:sz w:val="24"/>
          <w:szCs w:val="24"/>
        </w:rPr>
      </w:pPr>
    </w:p>
    <w:p>
      <w:pPr>
        <w:widowControl/>
        <w:ind w:left="320"/>
        <w:jc w:val="left"/>
        <w:rPr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（2）从广东政务服务网（</w:t>
      </w:r>
      <w:r>
        <w:fldChar w:fldCharType="begin"/>
      </w:r>
      <w:r>
        <w:instrText xml:space="preserve"> HYPERLINK "http://www.gdzwfw.gov.cn/" </w:instrText>
      </w:r>
      <w:r>
        <w:fldChar w:fldCharType="separate"/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t>http://www.gdzwfw.gov.cn/</w:t>
      </w:r>
      <w:r>
        <w:rPr>
          <w:rStyle w:val="12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）登录。</w:t>
      </w:r>
      <w:r>
        <w:drawing>
          <wp:inline distT="0" distB="0" distL="0" distR="0">
            <wp:extent cx="5274310" cy="2863215"/>
            <wp:effectExtent l="0" t="0" r="2540" b="13335"/>
            <wp:docPr id="2" name="图片 2" descr="C:\Users\IRISBI~1\AppData\Local\Temp\15597909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IRISBI~1\AppData\Local\Temp\155979093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rFonts w:ascii="黑体" w:hAnsi="黑体" w:eastAsia="黑体" w:cs="黑体"/>
          <w:sz w:val="32"/>
          <w:szCs w:val="32"/>
        </w:rPr>
      </w:pPr>
    </w:p>
    <w:p>
      <w:pPr>
        <w:pStyle w:val="17"/>
        <w:ind w:left="420" w:firstLine="0" w:firstLineChars="0"/>
        <w:rPr>
          <w:rFonts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2、确认银行账户信息</w:t>
      </w:r>
    </w:p>
    <w:p>
      <w:pPr>
        <w:pStyle w:val="17"/>
        <w:ind w:left="210" w:firstLine="0" w:firstLineChars="0"/>
      </w:pPr>
      <w:r>
        <w:rPr>
          <w:rFonts w:hint="eastAsia" w:ascii="仿宋_GB2312" w:hAnsi="仿宋_GB2312" w:eastAsia="仿宋_GB2312" w:cs="仿宋_GB2312"/>
          <w:sz w:val="32"/>
          <w:szCs w:val="32"/>
        </w:rPr>
        <w:t>（1）登录成功后，点击进入“我的事项”，如下图所示：</w:t>
      </w:r>
    </w:p>
    <w:p>
      <w:pPr>
        <w:pStyle w:val="17"/>
        <w:ind w:left="930" w:firstLine="0" w:firstLineChars="0"/>
      </w:pPr>
      <w:r>
        <w:drawing>
          <wp:inline distT="0" distB="0" distL="0" distR="0">
            <wp:extent cx="5274310" cy="2687955"/>
            <wp:effectExtent l="0" t="0" r="254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930" w:firstLine="0" w:firstLineChars="0"/>
      </w:pPr>
    </w:p>
    <w:p>
      <w:pPr>
        <w:pStyle w:val="17"/>
        <w:ind w:firstLine="320" w:firstLineChars="1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（2）点击进入“我的事项”，选择“业务情形”为“</w:t>
      </w:r>
      <w:r>
        <w:rPr>
          <w:rFonts w:hint="default" w:ascii="仿宋_GB2312" w:hAnsi="仿宋_GB2312" w:eastAsia="仿宋_GB2312" w:cs="仿宋_GB2312"/>
          <w:sz w:val="32"/>
          <w:szCs w:val="32"/>
        </w:rPr>
        <w:t>改制上市培育资助项目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”的申报记录，然后点击“查看”，如下图：</w:t>
      </w:r>
    </w:p>
    <w:p>
      <w:pPr>
        <w:pStyle w:val="17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138938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（3）在打开的页面中，找到拨付账号确认按钮，点击该按钮，如下图所示：</w:t>
      </w:r>
    </w:p>
    <w:p>
      <w:pPr>
        <w:pStyle w:val="17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94449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（4）输入银行账户信息后</w:t>
      </w:r>
      <w:r>
        <w:rPr>
          <w:rFonts w:ascii="仿宋_GB2312" w:hAnsi="仿宋_GB2312" w:eastAsia="仿宋_GB2312" w:cs="仿宋_GB2312"/>
          <w:sz w:val="32"/>
          <w:szCs w:val="32"/>
        </w:rPr>
        <w:t>(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注：上报后不可更改，请填妥后核对无误</w:t>
      </w:r>
      <w:r>
        <w:rPr>
          <w:rFonts w:hint="eastAsia" w:ascii="仿宋_GB2312" w:hAnsi="仿宋_GB2312" w:eastAsia="仿宋_GB2312" w:cs="仿宋_GB2312"/>
          <w:sz w:val="32"/>
          <w:szCs w:val="32"/>
        </w:rPr>
        <w:t>），点击“上报”，如下图所示：</w:t>
      </w:r>
    </w:p>
    <w:p>
      <w:pPr>
        <w:pStyle w:val="17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37553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（5）上报成功后，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刷新</w:t>
      </w:r>
      <w:r>
        <w:rPr>
          <w:rFonts w:hint="eastAsia" w:ascii="仿宋_GB2312" w:hAnsi="仿宋_GB2312" w:eastAsia="仿宋_GB2312" w:cs="仿宋_GB2312"/>
          <w:sz w:val="32"/>
          <w:szCs w:val="32"/>
        </w:rPr>
        <w:t>当前页面，会出现“资金拨付”栏，如下图所示：</w:t>
      </w:r>
    </w:p>
    <w:p>
      <w:pPr>
        <w:pStyle w:val="17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31432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210" w:firstLine="0" w:firstLine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（6）选择“资金拨付”,会出现“拨付帐号信息表”，点击“拨付账号信息表”，即可在新页面打印账户证明。</w:t>
      </w:r>
    </w:p>
    <w:p>
      <w:pPr>
        <w:pStyle w:val="17"/>
        <w:ind w:left="930" w:firstLine="0" w:firstLineChars="0"/>
      </w:pPr>
      <w:r>
        <w:rPr>
          <w:rFonts w:hint="eastAsia"/>
        </w:rPr>
        <w:drawing>
          <wp:inline distT="0" distB="0" distL="0" distR="0">
            <wp:extent cx="5274310" cy="27552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ind w:left="930" w:firstLine="0" w:firstLineChars="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alibri Light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DC9C"/>
    <w:multiLevelType w:val="singleLevel"/>
    <w:tmpl w:val="04C7DC9C"/>
    <w:lvl w:ilvl="0" w:tentative="0">
      <w:start w:val="1"/>
      <w:numFmt w:val="decimal"/>
      <w:suff w:val="nothing"/>
      <w:lvlText w:val="%1、"/>
      <w:lvlJc w:val="left"/>
      <w:pPr>
        <w:ind w:left="32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233BD9"/>
    <w:rsid w:val="00C55297"/>
    <w:rsid w:val="00D30842"/>
    <w:rsid w:val="0FC52BB6"/>
    <w:rsid w:val="15A71FB9"/>
    <w:rsid w:val="162B733D"/>
    <w:rsid w:val="17CD288E"/>
    <w:rsid w:val="18E17859"/>
    <w:rsid w:val="1C7729E0"/>
    <w:rsid w:val="22FA7733"/>
    <w:rsid w:val="25060948"/>
    <w:rsid w:val="2FFE057D"/>
    <w:rsid w:val="305276CB"/>
    <w:rsid w:val="3C902666"/>
    <w:rsid w:val="3CC87B78"/>
    <w:rsid w:val="4111690A"/>
    <w:rsid w:val="4F962C9B"/>
    <w:rsid w:val="5AD05136"/>
    <w:rsid w:val="63AE6B5A"/>
    <w:rsid w:val="6B424DED"/>
    <w:rsid w:val="6B767B6E"/>
    <w:rsid w:val="6DF94C4E"/>
    <w:rsid w:val="6E585362"/>
    <w:rsid w:val="77926987"/>
    <w:rsid w:val="77E6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paragraph" w:styleId="6">
    <w:name w:val="toc 2"/>
    <w:basedOn w:val="1"/>
    <w:next w:val="1"/>
    <w:unhideWhenUsed/>
    <w:qFormat/>
    <w:uiPriority w:val="39"/>
    <w:pPr>
      <w:ind w:left="420" w:leftChars="200"/>
    </w:p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uiPriority w:val="0"/>
    <w:rPr>
      <w:color w:val="1890FF"/>
      <w:u w:val="none"/>
    </w:rPr>
  </w:style>
  <w:style w:type="character" w:styleId="11">
    <w:name w:val="HTML Definition"/>
    <w:basedOn w:val="8"/>
    <w:qFormat/>
    <w:uiPriority w:val="0"/>
    <w:rPr>
      <w:i/>
    </w:rPr>
  </w:style>
  <w:style w:type="character" w:styleId="12">
    <w:name w:val="Hyperlink"/>
    <w:basedOn w:val="8"/>
    <w:unhideWhenUsed/>
    <w:qFormat/>
    <w:uiPriority w:val="99"/>
    <w:rPr>
      <w:color w:val="0563C1" w:themeColor="hyperlink"/>
      <w:u w:val="single"/>
    </w:rPr>
  </w:style>
  <w:style w:type="character" w:styleId="13">
    <w:name w:val="HTML Code"/>
    <w:basedOn w:val="8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styleId="14">
    <w:name w:val="HTML Keyboard"/>
    <w:basedOn w:val="8"/>
    <w:uiPriority w:val="0"/>
    <w:rPr>
      <w:rFonts w:hint="default" w:ascii="Consolas" w:hAnsi="Consolas" w:eastAsia="Consolas" w:cs="Consolas"/>
      <w:sz w:val="21"/>
      <w:szCs w:val="21"/>
    </w:rPr>
  </w:style>
  <w:style w:type="character" w:styleId="15">
    <w:name w:val="HTML Sample"/>
    <w:basedOn w:val="8"/>
    <w:qFormat/>
    <w:uiPriority w:val="0"/>
    <w:rPr>
      <w:rFonts w:ascii="Consolas" w:hAnsi="Consolas" w:eastAsia="Consolas" w:cs="Consolas"/>
      <w:sz w:val="21"/>
      <w:szCs w:val="21"/>
      <w:shd w:val="clear" w:fill="FFFFFF"/>
    </w:rPr>
  </w:style>
  <w:style w:type="paragraph" w:customStyle="1" w:styleId="1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9">
    <w:name w:val="页脚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20">
    <w:name w:val="ant-radio+*"/>
    <w:basedOn w:val="8"/>
    <w:qFormat/>
    <w:uiPriority w:val="0"/>
  </w:style>
  <w:style w:type="character" w:customStyle="1" w:styleId="21">
    <w:name w:val="ant-radio+*1"/>
    <w:basedOn w:val="8"/>
    <w:qFormat/>
    <w:uiPriority w:val="0"/>
    <w:rPr>
      <w:color w:val="000000"/>
      <w:spacing w:val="0"/>
      <w:sz w:val="24"/>
      <w:szCs w:val="24"/>
    </w:rPr>
  </w:style>
  <w:style w:type="character" w:customStyle="1" w:styleId="22">
    <w:name w:val="ant-select-tree-iconele"/>
    <w:basedOn w:val="8"/>
    <w:qFormat/>
    <w:uiPriority w:val="0"/>
  </w:style>
  <w:style w:type="character" w:customStyle="1" w:styleId="23">
    <w:name w:val="ant-select-tree-checkbox"/>
    <w:basedOn w:val="8"/>
    <w:qFormat/>
    <w:uiPriority w:val="0"/>
  </w:style>
  <w:style w:type="character" w:customStyle="1" w:styleId="24">
    <w:name w:val="ant-select-tree-switcher"/>
    <w:basedOn w:val="8"/>
    <w:qFormat/>
    <w:uiPriority w:val="0"/>
  </w:style>
  <w:style w:type="character" w:customStyle="1" w:styleId="25">
    <w:name w:val="ant-transfer-list-search-action"/>
    <w:basedOn w:val="8"/>
    <w:qFormat/>
    <w:uiPriority w:val="0"/>
  </w:style>
  <w:style w:type="character" w:customStyle="1" w:styleId="26">
    <w:name w:val="ant-tree-switcher"/>
    <w:basedOn w:val="8"/>
    <w:qFormat/>
    <w:uiPriority w:val="0"/>
  </w:style>
  <w:style w:type="character" w:customStyle="1" w:styleId="27">
    <w:name w:val="ant-tree-iconele"/>
    <w:basedOn w:val="8"/>
    <w:qFormat/>
    <w:uiPriority w:val="0"/>
  </w:style>
  <w:style w:type="character" w:customStyle="1" w:styleId="28">
    <w:name w:val="ant-tree-checkbox2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6</Pages>
  <Words>82</Words>
  <Characters>474</Characters>
  <Lines>3</Lines>
  <Paragraphs>1</Paragraphs>
  <TotalTime>8</TotalTime>
  <ScaleCrop>false</ScaleCrop>
  <LinksUpToDate>false</LinksUpToDate>
  <CharactersWithSpaces>555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2021-03-22T01:26:00Z</dcterms:created>
  <dc:creator>吴成蛟</dc:creator>
  <cp:lastModifiedBy>综合处_汪效斌</cp:lastModifiedBy>
  <dcterms:modified xsi:type="dcterms:W3CDTF">2022-05-05T07:00:04Z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